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7.png" ContentType="image/png"/>
  <Override PartName="/word/media/rId36.png" ContentType="image/png"/>
  <Override PartName="/word/media/rId27.png" ContentType="image/png"/>
  <Override PartName="/word/media/rId3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abstract"/>
    <w:p>
      <w:pPr>
        <w:pStyle w:val="Heading3"/>
      </w:pPr>
      <w:r>
        <w:t xml:space="preserve">Abstract</w:t>
      </w:r>
    </w:p>
    <w:p>
      <w:pPr>
        <w:pStyle w:val="FirstParagraph"/>
      </w:pPr>
      <w:r>
        <w:rPr>
          <w:b/>
        </w:rPr>
        <w:t xml:space="preserve">Keywords</w:t>
      </w:r>
      <w:r>
        <w:t xml:space="preserve">:</w:t>
      </w:r>
    </w:p>
    <w:p>
      <w:r>
        <w:br w:type="page"/>
      </w:r>
    </w:p>
    <w:bookmarkEnd w:id="21"/>
    <w:bookmarkStart w:id="29" w:name="introduction"/>
    <w:p>
      <w:pPr>
        <w:pStyle w:val="Heading3"/>
      </w:pPr>
      <w:r>
        <w:t xml:space="preserve">Introduction</w:t>
      </w:r>
    </w:p>
    <w:bookmarkStart w:id="22"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(i.e., net ecosystem exchange, NEE) by ecosystems</w:t>
      </w:r>
      <w:r>
        <w:t xml:space="preserve"> </w:t>
      </w:r>
      <w:r>
        <w:t xml:space="preserve">(Churkina et al., 2005; Keenan et al., 2014; Zhou et al., 2016)</w:t>
      </w:r>
      <w:r>
        <w:t xml:space="preserve">. However, more of the interannual variation in forest NEE is explained by variation in maximum C uptake rates than by the length of the carbon uptake period</w:t>
      </w:r>
      <w:r>
        <w:t xml:space="preserve"> </w:t>
      </w:r>
      <w:r>
        <w:t xml:space="preserve">(Fu et al., 2019; Zhou et al., 2016)</w:t>
      </w:r>
      <w:r>
        <w:t xml:space="preserve">.</w:t>
      </w:r>
    </w:p>
    <w:p>
      <w:pPr>
        <w:pStyle w:val="BodyText"/>
      </w:pPr>
      <w:r>
        <w:t xml:space="preserve">Many observations of climate induced phenological shifts are based on GIS (), eddy-covarience measurements (), or other broad scale measurements of phenological timing, and do little to discern differences between individual species, where leaf and stem-growth phenology can be decoupled (D’Orangeville et al, in review).</w:t>
      </w:r>
    </w:p>
    <w:bookmarkEnd w:id="23"/>
    <w:bookmarkStart w:id="24"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leaf up timings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but tree-rings tell us nothing about the timing of that growth. Timing of intraannual stem-growth is extremely important as well.</w:t>
      </w:r>
    </w:p>
    <w:bookmarkEnd w:id="24"/>
    <w:bookmarkStart w:id="25"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t xml:space="preserve">A recent publication by D’Orangeville et al () found that leaf and wood phenology traits, along with their apparent relationships, are dissimilar among trees of different wood types (ring-porous and diffuse-porous). For example, they observed that bud burst was occurring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5"/>
    <w:bookmarkStart w:id="28"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256190"/>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256190"/>
                    </a:xfrm>
                    <a:prstGeom prst="rect">
                      <a:avLst/>
                    </a:prstGeom>
                    <a:noFill/>
                    <a:ln w="9525">
                      <a:noFill/>
                      <a:headEnd/>
                      <a:tailEnd/>
                    </a:ln>
                  </pic:spPr>
                </pic:pic>
              </a:graphicData>
            </a:graphic>
          </wp:inline>
        </w:drawing>
      </w:r>
    </w:p>
    <w:bookmarkEnd w:id="28"/>
    <w:bookmarkEnd w:id="29"/>
    <w:bookmarkStart w:id="35" w:name="materials-and-methods"/>
    <w:p>
      <w:pPr>
        <w:pStyle w:val="Heading3"/>
      </w:pPr>
      <w:r>
        <w:t xml:space="preserve">Materials and Methods</w:t>
      </w:r>
    </w:p>
    <w:bookmarkStart w:id="31" w:name="study-sites-and-data"/>
    <w:p>
      <w:pPr>
        <w:pStyle w:val="Heading4"/>
      </w:pPr>
      <w:r>
        <w:t xml:space="preserve">Study sites and data</w:t>
      </w:r>
    </w:p>
    <w:p>
      <w:pPr>
        <w:pStyle w:val="FirstParagraph"/>
      </w:pPr>
      <w:r>
        <w:t xml:space="preserve">Study sites included</w:t>
      </w:r>
      <w:r>
        <w:t xml:space="preserve"> </w:t>
      </w:r>
      <w:r>
        <w:rPr>
          <w:b/>
        </w:rPr>
        <w:t xml:space="preserve">2/3</w:t>
      </w:r>
      <w:r>
        <w:t xml:space="preserve"> </w:t>
      </w:r>
      <w:r>
        <w:t xml:space="preserve">temperate forests in the Eastern United states,</w:t>
      </w:r>
      <w:r>
        <w:t xml:space="preserve"> </w:t>
      </w:r>
      <w:r>
        <w:rPr>
          <w:b/>
        </w:rPr>
        <w:t xml:space="preserve">both/all</w:t>
      </w:r>
      <w:r>
        <w:t xml:space="preserve"> </w:t>
      </w:r>
      <w:r>
        <w:t xml:space="preserve">part of the Forest Global Earth Observatory [ForestGEO; Anderson-Teixeira et al. 2015] (</w:t>
      </w:r>
      <w:r>
        <w:rPr>
          <w:b/>
        </w:rPr>
        <w:t xml:space="preserve">Table 1?</w:t>
      </w:r>
      <w:r>
        <w:t xml:space="preserve">).</w:t>
      </w:r>
      <w:r>
        <w:t xml:space="preserve"> </w:t>
      </w:r>
      <w:r>
        <w:rPr>
          <w:b/>
        </w:rPr>
        <w:t xml:space="preserve">Both/all</w:t>
      </w:r>
      <w:r>
        <w:t xml:space="preserve"> </w:t>
      </w:r>
      <w:r>
        <w:t xml:space="preserve">sites are dominated by broadleaf deciduous trees.</w:t>
      </w:r>
      <w:r>
        <w:t xml:space="preserve"> </w:t>
      </w:r>
      <w:r>
        <w:rPr>
          <w:i/>
        </w:rPr>
        <w:t xml:space="preserve">(insert site descriptions, including lat/long, elevation, plot size, climate info, dominant species. If we include SERC and if space permits, we may put this in a table, otherwise just text)</w:t>
      </w:r>
    </w:p>
    <w:p>
      <w:pPr>
        <w:pStyle w:val="BodyText"/>
      </w:pPr>
      <w:r>
        <w:t xml:space="preserve">Our first study site was the forest dynamics plot located at the Smithsonian COnservation Biology Institute 5 KM South of Front Royal, Virginia within the Blue Ridge Mountains (38 °53036.6″ N, 78°08043.4″W; elevation 273–338 m). The forest here was established in the mid-19th century after conversion from agricultural fields. Dominate canopy species within the 25.6 HA forest plot include tulip poplar (Liriodendron tulipifera), hickories (Carya spp.), and oaks (Quercus spp.).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in the central Massachusetts town of Petersham (42°53′ N, 72°17′ W, elevation?). Harvard forest was established in 1907 as a study site for university students and researchers. (Previous use?) Dominate species within the approximately 13 HA plot are hemlock (Tsuga spp.), oak (Quercus spp.) and maple (Acer spp.). The climate is temperate continental with a mean annual precipitation of 1120 mm, January temperatures averaging -12 degrees C and July temperatures averaging 19 degrees C (D’Orangeville et al, ).</w:t>
      </w:r>
    </w:p>
    <w:p>
      <w:pPr>
        <w:pStyle w:val="BodyText"/>
      </w:pPr>
      <w:r>
        <w:t xml:space="preserve">The third study site was the forest dynamics plot located at the Smithsonian Ecological Research Center in Edgewater, Maryland near a sub estuary of the Chesapeake Bay (38°88′ N, 76°55′ W, elevation?). The forest here established roughly 120 years ago, while the plot was established in 2007. The 16 HA plot is dominated by tulip poplar (Liriodendron tulipifera), oak (Quercus spp.), beech (Fagus spp.), hickory (Carya spp.), and maple (Acer spp.). (Climate summary)</w:t>
      </w:r>
    </w:p>
    <w:p>
      <w:pPr>
        <w:pStyle w:val="BodyText"/>
      </w:pPr>
      <w:r>
        <w:t xml:space="preserve">Metal dendrometer bands installed on</w:t>
      </w:r>
      <w:r>
        <w:t xml:space="preserve"> </w:t>
      </w:r>
      <w:r>
        <w:rPr>
          <w:i/>
        </w:rPr>
        <w:t xml:space="preserve">700-755</w:t>
      </w:r>
      <w:r>
        <w:t xml:space="preserve"> </w:t>
      </w:r>
      <w:r>
        <w:t xml:space="preserve">trees at Harvard Forest and</w:t>
      </w:r>
      <w:r>
        <w:t xml:space="preserve"> </w:t>
      </w:r>
      <w:r>
        <w:rPr>
          <w:i/>
        </w:rPr>
        <w:t xml:space="preserve">99-145</w:t>
      </w:r>
      <w:r>
        <w:t xml:space="preserve"> </w:t>
      </w:r>
      <w:r>
        <w:t xml:space="preserve">trees at SCBI were measured with a digital caliper approximately every 1-2 weeks within the growing season from 1998-2003, and 2011-2020 respectively (</w:t>
      </w:r>
      <w:r>
        <w:rPr>
          <w:i/>
        </w:rPr>
        <w:t xml:space="preserve">list ranges, for each site if different</w:t>
      </w:r>
      <w:r>
        <w:t xml:space="preserve">).</w:t>
      </w:r>
      <w:r>
        <w:t xml:space="preserve"> </w:t>
      </w:r>
      <w:r>
        <w:rPr>
          <w:i/>
        </w:rPr>
        <w:t xml:space="preserve">(don’t bother to mention biannual bands, unless you end up using the data–which you could, for annual growth, if you’d like to increase the sample size. You can put exact numbers of bands per year in an SI file.</w:t>
      </w:r>
      <w:r>
        <w:t xml:space="preserve">) The number of bands measured at each site fluctuated somewhat as trees were added or dropped (e.g., because of tree mortality) from the census (Table S1) (tags_per_year_preclean in data folder). Across years, the number of bands sampled averaged</w:t>
      </w:r>
      <w:r>
        <w:t xml:space="preserve"> </w:t>
      </w:r>
      <w:r>
        <w:rPr>
          <w:i/>
        </w:rPr>
        <w:t xml:space="preserve">~135</w:t>
      </w:r>
      <w:r>
        <w:t xml:space="preserve"> </w:t>
      </w:r>
      <w:r>
        <w:t xml:space="preserve">at SCBI,</w:t>
      </w:r>
      <w:r>
        <w:t xml:space="preserve"> </w:t>
      </w:r>
      <w:r>
        <w:rPr>
          <w:i/>
        </w:rPr>
        <w:t xml:space="preserve">~717</w:t>
      </w:r>
      <w:r>
        <w:t xml:space="preserve"> </w:t>
      </w:r>
      <w:r>
        <w:t xml:space="preserve">at Harvard Forest</w:t>
      </w:r>
      <w:r>
        <w:rPr>
          <w:i/>
        </w:rPr>
        <w:t xml:space="preserve">, and # at SERC</w:t>
      </w:r>
      <w:r>
        <w:t xml:space="preserve">. At SCBI, 4 species were sampled including two diffuse-porous (Lirodendron tulipfera and Fagus grandafolia) and two ring-porous (Quercus rubra and Quercus alba) species. At Harvard Forest, 11 species were sampled including 8 diffuse-porous and 3 ring-porous (SI table)(bands_bySP csv’s in data folder).</w:t>
      </w:r>
      <w:r>
        <w:t xml:space="preserve"> </w:t>
      </w:r>
      <w:r>
        <w:rPr>
          <w:i/>
        </w:rPr>
        <w:t xml:space="preserve">(summary of how bands were distributed across species, focusing on ring/ diffuse porous distinction. details in an SI table)</w:t>
      </w:r>
    </w:p>
    <w:p>
      <w:pPr>
        <w:pStyle w:val="BodyText"/>
      </w:pPr>
      <w:r>
        <w:t xml:space="preserve">Measurements were timed to begin before beginning of spring growth and to continue through the cessation of growth in the fall.</w:t>
      </w:r>
      <w:r>
        <w:t xml:space="preserve"> </w:t>
      </w:r>
      <w:r>
        <w:rPr>
          <w:i/>
        </w:rPr>
        <w:t xml:space="preserve">(Give specifics, which may vary by site. Note that we adjusted timing at SCBI when we observed early leaf-out of understory shrubs/herbs)</w:t>
      </w:r>
      <w:r>
        <w:t xml:space="preserve"> </w:t>
      </w:r>
      <w:r>
        <w:t xml:space="preserve">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(TMAX)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 TMAX for visual inspection. Climpact also identifies readings that were greater than 3 standard deviations away from yearly means. These points were labeled as outliers and removed from the dataset. Gaps in the SCBI meteorological tower data were subsequently filled using TMAX readings obtained from a National Center for Environmental Information (NCEI) weather station located in Front Royal, Virginia (</w:t>
      </w:r>
      <w:hyperlink r:id="rId30">
        <w:r>
          <w:rPr>
            <w:rStyle w:val="Hyperlink"/>
          </w:rPr>
          <w:t xml:space="preserve">https://www.ncdc.noaa.gov/cdo-web/datasets/GHCND/stations/GHCND:USC00443229/detail</w:t>
        </w:r>
      </w:hyperlink>
      <w:r>
        <w:t xml:space="preserve">).</w:t>
      </w:r>
    </w:p>
    <w:bookmarkEnd w:id="31"/>
    <w:bookmarkStart w:id="32"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2"/>
    <w:bookmarkStart w:id="33"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(TMAX)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3"/>
    <w:bookmarkStart w:id="34"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3"/>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4"/>
        </w:numPr>
        <w:pStyle w:val="Compact"/>
      </w:pPr>
      <w:r>
        <w:t xml:space="preserve">Fixed effects: The interaction between wood type (diffuse vs ring porous) and climwin mean</w:t>
      </w:r>
    </w:p>
    <w:p>
      <w:pPr>
        <w:numPr>
          <w:ilvl w:val="1"/>
          <w:numId w:val="1004"/>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4"/>
    <w:bookmarkEnd w:id="35"/>
    <w:bookmarkStart w:id="39"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7"/>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39"/>
    <w:bookmarkStart w:id="41"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 TMAX 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 TMAX 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1"/>
    <w:bookmarkStart w:id="42"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2"/>
    <w:bookmarkStart w:id="43" w:name="acknowledgements"/>
    <w:p>
      <w:pPr>
        <w:pStyle w:val="Heading3"/>
      </w:pPr>
      <w:r>
        <w:t xml:space="preserve">Acknowledgements</w:t>
      </w:r>
    </w:p>
    <w:p>
      <w:pPr>
        <w:pStyle w:val="FirstParagraph"/>
      </w:pPr>
      <w:r>
        <w:t xml:space="preserve">ForestGEO</w:t>
      </w:r>
    </w:p>
    <w:bookmarkEnd w:id="43"/>
    <w:bookmarkStart w:id="44" w:name="author-contributions"/>
    <w:p>
      <w:pPr>
        <w:pStyle w:val="Heading3"/>
      </w:pPr>
      <w:r>
        <w:t xml:space="preserve">Author Contributions</w:t>
      </w:r>
    </w:p>
    <w:bookmarkEnd w:id="44"/>
    <w:bookmarkStart w:id="45"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5"/>
    <w:bookmarkStart w:id="57" w:name="references"/>
    <w:p>
      <w:pPr>
        <w:pStyle w:val="Heading3"/>
      </w:pPr>
      <w:r>
        <w:t xml:space="preserve">References</w:t>
      </w:r>
    </w:p>
    <w:bookmarkStart w:id="56" w:name="refs"/>
    <w:bookmarkStart w:id="47"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6">
        <w:r>
          <w:rPr>
            <w:rStyle w:val="Hyperlink"/>
          </w:rPr>
          <w:t xml:space="preserve">https://doi.org/10.1111/j.1365-2486.2005.001012.x</w:t>
        </w:r>
      </w:hyperlink>
    </w:p>
    <w:bookmarkEnd w:id="47"/>
    <w:bookmarkStart w:id="49"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8">
        <w:r>
          <w:rPr>
            <w:rStyle w:val="Hyperlink"/>
          </w:rPr>
          <w:t xml:space="preserve">https://doi.org/10.1111/gcb.14731</w:t>
        </w:r>
      </w:hyperlink>
    </w:p>
    <w:bookmarkEnd w:id="49"/>
    <w:bookmarkStart w:id="51"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0">
        <w:r>
          <w:rPr>
            <w:rStyle w:val="Hyperlink"/>
          </w:rPr>
          <w:t xml:space="preserve">https://doi.org/10.1038/nclimate2253</w:t>
        </w:r>
      </w:hyperlink>
    </w:p>
    <w:bookmarkEnd w:id="51"/>
    <w:bookmarkStart w:id="53"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2">
        <w:r>
          <w:rPr>
            <w:rStyle w:val="Hyperlink"/>
          </w:rPr>
          <w:t xml:space="preserve">https://doi.org/10.1002/ece3.1117</w:t>
        </w:r>
      </w:hyperlink>
    </w:p>
    <w:bookmarkEnd w:id="53"/>
    <w:bookmarkStart w:id="5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4">
        <w:r>
          <w:rPr>
            <w:rStyle w:val="Hyperlink"/>
          </w:rPr>
          <w:t xml:space="preserve">https://doi.org/10.1016/j.agrformet.2016.06.010</w:t>
        </w:r>
      </w:hyperlink>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hyperlink" Id="rId52" Target="https://doi.org/10.1002/ece3.1117" TargetMode="External" /><Relationship Type="http://schemas.openxmlformats.org/officeDocument/2006/relationships/hyperlink" Id="rId54" Target="https://doi.org/10.1016/j.agrformet.2016.06.010"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2/ece3.1117" TargetMode="External" /><Relationship Type="http://schemas.openxmlformats.org/officeDocument/2006/relationships/hyperlink" Id="rId54" Target="https://doi.org/10.1016/j.agrformet.2016.06.010"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2020-11-10T17:28:30Z</dcterms:created>
  <dcterms:modified xsi:type="dcterms:W3CDTF">2020-11-10T17:28:30Z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